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4A" w:rsidRPr="00F3094A" w:rsidRDefault="00F3094A" w:rsidP="00F3094A">
      <w:pPr>
        <w:rPr>
          <w:b/>
          <w:sz w:val="28"/>
          <w:szCs w:val="28"/>
        </w:rPr>
      </w:pPr>
      <w:r w:rsidRPr="00F3094A">
        <w:rPr>
          <w:b/>
          <w:sz w:val="28"/>
          <w:szCs w:val="28"/>
        </w:rPr>
        <w:t>Daňový kalendář pro rok 2018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9.1.2019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listopad 2018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daňové přiznání a splatnost daně k 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MOSS</w:t>
            </w:r>
            <w:proofErr w:type="gramEnd"/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21.1.2019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24.1.2019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listopad 2018 (pouze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4. čtvrtletí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4. čtvrtletí a za prosinec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4. čtvrtletí a prosinec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4. čtvrtletí a prosinec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prosinec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prosinec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z topných olejů a ostatních (technických) benzinů za prosinec 2018 (pokud vznikl nárok)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31.1.2019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biopaliva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hlášení dle § 19 odst. 8 zákona č. 201/2012 Sb.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silniční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daň za rok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nemovitých věcí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(úplné) nebo dílčí daňové přiznání na rok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prosinec 2018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0" w:name="2"/>
      <w:bookmarkEnd w:id="0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únor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11.2.2019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prosinec 2018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15.2.2019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učinit prohlášení poplatníka daně z příjmů fyzických osob ze závislé činnosti na zdaňovací období 2019 a podat žádost o provedení ročního zúčtování záloh na daň a daňové zvýhodnění za zdaňovací období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žádosti o provedení ročního zúčtování správci daně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leden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leden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leden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leden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prosinec 2018 (pouze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leden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například z topných olejů, ostatních (technických) benzinů za leden 2019 (pokud vznikl nárok)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28.2.2019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leden 2019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1" w:name="3"/>
      <w:bookmarkEnd w:id="1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březen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1.3.2019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vyúčtování daně z příjmů ze závislé činnosti za zdaňovací období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12.3.2019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leden 2019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15.3.2019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čtvrtletní záloha na daň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20.3.2019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elektronické podání vyúčtování daně z příjmů ze závislé činnosti za zdaňovací období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25.3.2019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únor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únor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únor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únor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únor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například z topných olejů a ostatních (technických) benzinů za únor 2019 (pokud vznikl nárok)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27.3.2019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leden 2019 (pouze spotřební daň z lihu)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2" w:name="4"/>
      <w:bookmarkEnd w:id="2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lastRenderedPageBreak/>
        <w:t>duben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únor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vyúčtování daně vybírané srážkou podle zvláštní sazby daně za zdaňovací období 2018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přiznání k dani a úhrada daně za rok 2018, nemá-li poplatník povinný audit a přiznání zpracovává a předkládá sám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9.4.2019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únor 2019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15.4.2019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silniční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na daň za 1. čtvrtletí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daňové přiznání a splatnost daně k 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MOSS</w:t>
            </w:r>
            <w:proofErr w:type="gramEnd"/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23.4.2019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24.4.2019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únor 2019 (pouze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1. čtvrtletí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1. čtvrtletí a za březen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1. čtvrtletí a za březen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1. čtvrtletí a za březen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březen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březen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například z topných olejů a ostatních (technických) benzinů za březen 2019 (pokud vznikl nárok)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30.4.2019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březen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oznámení o splnění povinnosti zajistit minimální množství biopaliv a splatnost související jistoty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3" w:name="5"/>
      <w:bookmarkEnd w:id="3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květen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10.5.2019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březen 2019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20.5.2019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27.5.2019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duben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duben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duben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duben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březen 2019 (pouze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duben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například z topných olejů a ostatních (technických) benzinů za duben 2019 (pokud vznikl nárok)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31.5.2019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nemovitých věcí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celé daně (poplatníci s výší daně do 5 000 Kč včetně)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nemovitých věcí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1. splátky daně (poplatníci s daní vyšší než 5 000 Kč s výjimkou poplatníků provozujících zemědělskou výrobu a chov ryb)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duben 2019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4" w:name="6"/>
      <w:bookmarkEnd w:id="4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červen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10.6.2019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duben 2019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17.6.2019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čtvrtletní nebo pololetní záloha na daň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20.6.2019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24.6.2019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duben 2019 (pouze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25.6.2019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květen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květen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květen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květen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květen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z topných olejů a ostatních (technických) benzinů za květen 2019 (pokud vznikl nárok)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5" w:name="7"/>
      <w:bookmarkEnd w:id="5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červenec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květen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přiznání k dani a úhrada daně za rok 2018, má-li poplatník povinný audit nebo mu přiznání zpracovává a předkládá daňový poradce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Oznámení CRS (GATCA)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oznámení dle § 13k zákona č. 164/2013 Sb. ve znění pozdějších předpisů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oznámení FATCA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oznámení dle § 13k zákona č. 164/2013 Sb. ve znění pozdějších předpisů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10.7.2019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květen 2019 (mimo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15.7.2019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silniční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na daň za 2. čtvrtletí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sobota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daňové přiznání a splatnost daně k 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MOSS</w:t>
            </w:r>
            <w:proofErr w:type="gramEnd"/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22.7.2019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měsíční odvod úhrnu sražených záloh na daň z příjmů fyzických osob ze závislé činnosti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za 2. čtvrtletí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daň za 2. čtvrtletí a za červen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2. čtvrtletí a za červen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2. čtvrtletí a za červen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a splatnost daně z plynu, pevných paliv a elektřiny za červen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splatnost daně za květen 2019 (pouze spotřební daň z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červen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k uplatnění nároku na vrácení spotřební daně například z topných olejů a ostatních (technických) benzinů za červen 2019 (pokud vznikl nárok)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30.7.2019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podání oznámení o splnění povinnosti zajistit minimální množství biopaliv a splatnost související jistoty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31.7.2019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 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daně vybírané srážkou podle zvláštní sazby daně za červen 2019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6" w:name="8"/>
      <w:bookmarkEnd w:id="6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srpen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1.8.2019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přehled o příjmech a výdajích za r. 2018 pro OSSZ, pokud daňové přiznání zpracovává daňový poradce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přehled o příjmech a výdajích za r. 2018 pro ZP, pokud daňové přiznání zpracovává daňový poradce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8.8.2019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7/2019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9.8.2019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daně za 6/2019 (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CÚ) (kromě</w:t>
            </w:r>
            <w:proofErr w:type="gram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 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platba pojistného nebo doplatku pojistného za rok 2018 (do 8 dnů od podání přehledu pro OSSZ)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platba pojistného nebo doplatku pojistného za rok 2018 (do 8 dnů od podání přehledu pro ZP)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20.8.2019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7/2019 (zaměstnavatel)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26.8.2019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za 7/2019 (měsíční plátce)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souhrnné hlášení za 7/2019 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kontrolní hlášení za 7/2019 - FO (měsíční plátce), PO (měsíční a čtvrtletní plátce) 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7/2019 (CÚ)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 plynu, pevných paliv a elektřiny za 7/2019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sobota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31.8.2019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 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záloha za 8/2019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7" w:name="9"/>
      <w:bookmarkEnd w:id="7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září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378"/>
        <w:gridCol w:w="486"/>
        <w:gridCol w:w="2280"/>
        <w:gridCol w:w="9080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2.9.2019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srážkové daně za 7/2019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nemovitých věcí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1/2 daně na rok 2019 (pouze zemědělská výroba a chov ryb), je-li daň vyšší než 5 000 Kč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9.9.2019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8/2019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daně za 7/2019 (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CÚ) (kromě</w:t>
            </w:r>
            <w:proofErr w:type="gram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16.9.2019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čtvrtletní záloha za 3. čtvrtletí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20.9.2019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8/2019 (zaměstnavatel)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25.9.2019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za 8/2019 (měsíční plátce)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souhrnné hlášení za 8/2019 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kontrolní hlášení za 8/2019 - FO (měsíční plátce), PO (měsíční a čtvrtletní plátce) 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8/2019 (CÚ)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 plynu, pevných paliv a elektřiny za 8/2019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30.9.2019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srážkové daně za 8/2019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záloha za 9/2019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8" w:name="10"/>
      <w:bookmarkEnd w:id="8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říjen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500"/>
        <w:gridCol w:w="486"/>
        <w:gridCol w:w="2280"/>
        <w:gridCol w:w="8958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8.10.2019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9/2019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10.10.2019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daně za 8/2019 (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CÚ) (kromě</w:t>
            </w:r>
            <w:proofErr w:type="gram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15.10.2019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Silniční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měsíce 7, 8, 9/2019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21.10.2019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9/2019 (zaměstnavatel)</w:t>
            </w:r>
          </w:p>
        </w:tc>
      </w:tr>
      <w:tr w:rsidR="001F4D12" w:rsidRPr="001F4D12" w:rsidTr="0008700D">
        <w:trPr>
          <w:trHeight w:val="887"/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25.10.2019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za 9/2019 (měsíční plátce)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za 3. čtvrtletí 2019 (čtvrtletní plátce)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9/2019 nebo za 3. čtvrtletí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FO (měsíční plátce) a PO (měsíční a čtvrtletní plátce) za 9/2019 a FO (čtvrtletní plátce) za 3. čtvrtletí 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9/2019 (CÚ)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 plynu, pevných paliv a elektřiny za 9/2019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čtvrtek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31.10.2019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poslední den lhůty pro podání přihlášky k registraci skupiny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srážkové daně za 9/2019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Pojištění odpovědnosti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Zákonné pojištění odpovědnosti zaměstnavatele za škodu při </w:t>
            </w:r>
            <w:proofErr w:type="spell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pracov</w:t>
            </w:r>
            <w:proofErr w:type="spell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úrazu (</w:t>
            </w:r>
            <w:proofErr w:type="spell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vyhl</w:t>
            </w:r>
            <w:proofErr w:type="spell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č. 125/1993 Sb.) za 4. čtvrtletí 2019.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záloha za 10/2019</w:t>
            </w:r>
          </w:p>
        </w:tc>
      </w:tr>
    </w:tbl>
    <w:p w:rsidR="001F4D12" w:rsidRPr="001F4D12" w:rsidRDefault="001F4D12" w:rsidP="0008700D">
      <w:pPr>
        <w:spacing w:before="100" w:beforeAutospacing="1" w:after="100" w:afterAutospacing="1" w:line="240" w:lineRule="auto"/>
        <w:ind w:left="-142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9" w:name="11"/>
      <w:bookmarkEnd w:id="9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listopad</w:t>
      </w:r>
    </w:p>
    <w:tbl>
      <w:tblPr>
        <w:tblW w:w="0" w:type="auto"/>
        <w:jc w:val="center"/>
        <w:tblCellSpacing w:w="15" w:type="dxa"/>
        <w:tblInd w:w="-350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670"/>
        <w:gridCol w:w="1500"/>
        <w:gridCol w:w="486"/>
        <w:gridCol w:w="2280"/>
        <w:gridCol w:w="8435"/>
      </w:tblGrid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47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8.11.2019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10/2019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47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11.11.2019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daně za 9/2019 (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CÚ) (kromě</w:t>
            </w:r>
            <w:proofErr w:type="gram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lihu)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47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20.11.2019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10/2019 (zaměstnavatel)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47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25.11.2019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za 10/2019 (měsíční plátce)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souhrnné hlášení za 10/2019 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10/2019 - FO (měsíční plátce), PO (měsíční a čtvrtletní plátce)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10/2019 (CÚ)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147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 plynu, pevných paliv a elektřiny za 10/2019</w:t>
            </w:r>
          </w:p>
        </w:tc>
      </w:tr>
      <w:tr w:rsidR="001F4D12" w:rsidRPr="001F4D12" w:rsidTr="0008700D">
        <w:trPr>
          <w:tblCellSpacing w:w="15" w:type="dxa"/>
          <w:jc w:val="center"/>
        </w:trPr>
        <w:tc>
          <w:tcPr>
            <w:tcW w:w="1625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147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30.11.2019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záloha za 11/2019</w:t>
            </w:r>
          </w:p>
        </w:tc>
      </w:tr>
    </w:tbl>
    <w:p w:rsidR="001F4D12" w:rsidRPr="001F4D12" w:rsidRDefault="001F4D12" w:rsidP="001F4D12">
      <w:pPr>
        <w:spacing w:before="100" w:beforeAutospacing="1" w:after="100" w:afterAutospacing="1" w:line="240" w:lineRule="auto"/>
        <w:ind w:left="75" w:right="75"/>
        <w:jc w:val="both"/>
        <w:rPr>
          <w:rFonts w:eastAsia="Times New Roman" w:cstheme="minorHAnsi"/>
          <w:color w:val="2167AC"/>
          <w:sz w:val="24"/>
          <w:szCs w:val="24"/>
          <w:lang w:eastAsia="cs-CZ"/>
        </w:rPr>
      </w:pPr>
      <w:bookmarkStart w:id="10" w:name="12"/>
      <w:bookmarkEnd w:id="10"/>
      <w:r w:rsidRPr="0008700D">
        <w:rPr>
          <w:rFonts w:eastAsia="Times New Roman" w:cstheme="minorHAnsi"/>
          <w:b/>
          <w:bCs/>
          <w:color w:val="2167AC"/>
          <w:sz w:val="24"/>
          <w:szCs w:val="24"/>
          <w:lang w:eastAsia="cs-CZ"/>
        </w:rPr>
        <w:t>prosinec</w:t>
      </w:r>
    </w:p>
    <w:tbl>
      <w:tblPr>
        <w:tblW w:w="0" w:type="auto"/>
        <w:jc w:val="center"/>
        <w:tblCellSpacing w:w="15" w:type="dxa"/>
        <w:tblInd w:w="75" w:type="dxa"/>
        <w:tblBorders>
          <w:top w:val="single" w:sz="6" w:space="0" w:color="2167AC"/>
          <w:left w:val="single" w:sz="6" w:space="0" w:color="2167AC"/>
          <w:bottom w:val="single" w:sz="6" w:space="0" w:color="2167AC"/>
          <w:right w:val="single" w:sz="6" w:space="0" w:color="2167AC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45"/>
        <w:gridCol w:w="1500"/>
        <w:gridCol w:w="486"/>
        <w:gridCol w:w="2280"/>
        <w:gridCol w:w="8958"/>
      </w:tblGrid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nemovitých věcí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 platba (poslední) 1/2 daně na rok 2019 (všichni poplatníci s daňovou povinností vyšší než 5 000 Kč)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srážkové daně za 10/2019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9.12.2019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11/2019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lastRenderedPageBreak/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10.12.2019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platba daně za 10/2019 (</w:t>
            </w:r>
            <w:proofErr w:type="gramStart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CÚ) (kromě</w:t>
            </w:r>
            <w:proofErr w:type="gramEnd"/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lihu)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16.12.2019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čtvrtletní záloha za 4. čtvrtletí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pololetní záloha za 2. pololetí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Silniční daň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měsíce 10, 11/2019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20.12.2019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záloha za 11/2019 (zaměstnavatel)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27.12.2019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za 11/2019 (měsíční plátce)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souhrnné hlášení za 11/2019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kontrolní hlášení za 11/2019 - FO (měsíční plátce), PO (měsíční a čtvrtletní plátce)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Spotřební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daňové přiznání za 11/2019 (CÚ)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Energetické daně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přiznání a platba daně z plynu, pevných paliv a elektřiny za 11/2019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750" w:type="dxa"/>
            <w:tcMar>
              <w:top w:w="225" w:type="dxa"/>
              <w:left w:w="225" w:type="dxa"/>
              <w:bottom w:w="225" w:type="dxa"/>
              <w:right w:w="150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jc w:val="right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  <w:proofErr w:type="gramStart"/>
            <w:r w:rsidRPr="001F4D12"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  <w:t>31.12.2019</w:t>
            </w:r>
            <w:proofErr w:type="gramEnd"/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Daň z příjmů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 srážkové daně za 11/2019</w:t>
            </w:r>
          </w:p>
        </w:tc>
      </w:tr>
      <w:tr w:rsidR="001F4D12" w:rsidRPr="001F4D12" w:rsidTr="001F4D12">
        <w:trPr>
          <w:tblCellSpacing w:w="15" w:type="dxa"/>
          <w:jc w:val="center"/>
        </w:trPr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114D8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50" w:type="dxa"/>
            <w:tcMar>
              <w:top w:w="225" w:type="dxa"/>
              <w:left w:w="225" w:type="dxa"/>
              <w:bottom w:w="150" w:type="dxa"/>
              <w:right w:w="225" w:type="dxa"/>
            </w:tcMar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0" w:type="auto"/>
            <w:hideMark/>
          </w:tcPr>
          <w:p w:rsidR="001F4D12" w:rsidRPr="001F4D12" w:rsidRDefault="001F4D12" w:rsidP="001F4D12">
            <w:pPr>
              <w:spacing w:before="75"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F4D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OSVČ - záloha za 12/2019</w:t>
            </w:r>
          </w:p>
        </w:tc>
      </w:tr>
    </w:tbl>
    <w:p w:rsidR="00DA3F35" w:rsidRDefault="00DA3F35">
      <w:bookmarkStart w:id="11" w:name="_GoBack"/>
      <w:bookmarkEnd w:id="11"/>
    </w:p>
    <w:sectPr w:rsidR="00DA3F35" w:rsidSect="00F30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A"/>
    <w:rsid w:val="0008700D"/>
    <w:rsid w:val="001F4D12"/>
    <w:rsid w:val="00DA3F35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a1">
    <w:name w:val="modra1"/>
    <w:basedOn w:val="Normln"/>
    <w:rsid w:val="001F4D12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color w:val="2167AC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4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a1">
    <w:name w:val="modra1"/>
    <w:basedOn w:val="Normln"/>
    <w:rsid w:val="001F4D12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color w:val="2167AC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559">
          <w:marLeft w:val="0"/>
          <w:marRight w:val="0"/>
          <w:marTop w:val="3750"/>
          <w:marBottom w:val="0"/>
          <w:divBdr>
            <w:top w:val="single" w:sz="6" w:space="0" w:color="DBDBDB"/>
            <w:left w:val="single" w:sz="6" w:space="31" w:color="DBDBDB"/>
            <w:bottom w:val="single" w:sz="6" w:space="31" w:color="DBDBDB"/>
            <w:right w:val="single" w:sz="6" w:space="31" w:color="DBDBDB"/>
          </w:divBdr>
        </w:div>
      </w:divsChild>
    </w:div>
    <w:div w:id="1127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2034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Jelinek</dc:creator>
  <cp:lastModifiedBy>Martin Jelinek</cp:lastModifiedBy>
  <cp:revision>3</cp:revision>
  <dcterms:created xsi:type="dcterms:W3CDTF">2019-01-14T14:54:00Z</dcterms:created>
  <dcterms:modified xsi:type="dcterms:W3CDTF">2019-01-14T14:56:00Z</dcterms:modified>
</cp:coreProperties>
</file>